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79cfbdc5d446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11734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FRANA LHOTKE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903.077,90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982.856,62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999.014,40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941.539,82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41.316,80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130.276,72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130.276,72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20.917,50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20.399,30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višak prihoda nad rashodima =20.399,30 e. Prihodi su u odnosu na prošlogodišnje razdoblje povećani 8,8%, a rashodi smanjeni 14,8 % što je u granicama normalnog odstupanja u poslovanju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762.989,21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830.359,00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Odnosi se na plaće i materijalna prava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51.620,58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Participacija roditelja pri upisu i kontrola plaćanja roditelja izvršena, pa je povećan indeks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Prihod od aparata, naplaćena 2025 pa je povećan indeks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85.773,00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98.104,92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Sve potrebne rashode osnivač prati odobrenim sredstvima pa je i indeks povećan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116.274,69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113.007,64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97,2</w:t>
            </w:r>
          </w:p>
        </w:tc>
      </w:tr>
    </w:tbl>
    <w:p>
      <w:pPr>
        <w:spacing w:before="0" w:after="0"/>
      </w:pPr>
    </w:p>
    <w:p>
      <w:r>
        <w:t xml:space="preserve">Izjednačili su se materijalni rashodi s obzirom na novu zgradu te su podjednaki prošlogodišnjem 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130.276,72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16,1</w:t>
            </w:r>
          </w:p>
        </w:tc>
      </w:tr>
    </w:tbl>
    <w:p>
      <w:pPr>
        <w:spacing w:before="0" w:after="0"/>
      </w:pPr>
    </w:p>
    <w:p>
      <w:r>
        <w:t xml:space="preserve">Smanjena nabava osnovnih sredstava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131.328,44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plaću 6/2026- =129.831,15 e  i obveze za materijalne rashode =1.497,29 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obvezi su svi rashodi za 6/26 čije je dospijeće u srpnju.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cfcca992b4925" /></Relationships>
</file>